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C9" w:rsidRPr="00BE38C9" w:rsidRDefault="00BE38C9" w:rsidP="00BE38C9">
      <w:pPr>
        <w:spacing w:before="60" w:after="0" w:line="240" w:lineRule="auto"/>
        <w:ind w:firstLine="567"/>
        <w:jc w:val="both"/>
        <w:rPr>
          <w:rFonts w:eastAsia="Wingdings" w:cs="Times New Roman"/>
          <w:spacing w:val="6"/>
          <w:szCs w:val="28"/>
        </w:rPr>
      </w:pPr>
      <w:r w:rsidRPr="00BE38C9">
        <w:rPr>
          <w:rFonts w:eastAsia="Times New Roman" w:cs="Times New Roman"/>
          <w:b/>
          <w:bCs/>
          <w:szCs w:val="28"/>
        </w:rPr>
        <w:t xml:space="preserve">Thẩm định Thiết kế xây dựng triển khai sau thiết kế cơ sở/ Thiết kế xây dựng triển khai sau thiết kế cơ sở điều chỉnh - </w:t>
      </w:r>
      <w:bookmarkStart w:id="0" w:name="_GoBack"/>
      <w:r w:rsidRPr="00BE38C9">
        <w:rPr>
          <w:rFonts w:eastAsia="Times New Roman" w:cs="Times New Roman"/>
          <w:bCs/>
          <w:szCs w:val="28"/>
        </w:rPr>
        <w:t>MSTT 1.009973</w:t>
      </w:r>
      <w:bookmarkEnd w:id="0"/>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1. Trình tự thực hiện:</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xml:space="preserve">- Người đề nghị thẩm định nộp trực tiếp hoặc qua dịch vụ bưu chính hoặc trực tuyến 01 bộ </w:t>
      </w:r>
      <w:r w:rsidRPr="00BE38C9">
        <w:rPr>
          <w:rFonts w:eastAsia="Wingdings" w:cs="Times New Roman"/>
          <w:szCs w:val="28"/>
          <w:lang w:val="vi-VN"/>
        </w:rPr>
        <w:t xml:space="preserve">hồ sơ đề nghị </w:t>
      </w:r>
      <w:r w:rsidRPr="00BE38C9">
        <w:rPr>
          <w:rFonts w:eastAsia="Wingdings" w:cs="Times New Roman"/>
          <w:szCs w:val="28"/>
          <w:lang w:val="it-IT"/>
        </w:rPr>
        <w:t>thẩm định Báo cáo nghiên cứu khả thi đầu tư xây dựng/ Báo cáo nghiên cứu khả thi đầu tư</w:t>
      </w:r>
      <w:r w:rsidRPr="00BE38C9">
        <w:rPr>
          <w:rFonts w:eastAsia="Wingdings" w:cs="Times New Roman"/>
          <w:szCs w:val="28"/>
          <w:lang w:val="vi-VN"/>
        </w:rPr>
        <w:t xml:space="preserve"> </w:t>
      </w:r>
      <w:r w:rsidRPr="00BE38C9">
        <w:rPr>
          <w:rFonts w:eastAsia="Wingdings" w:cs="Times New Roman"/>
          <w:szCs w:val="28"/>
          <w:lang w:val="it-IT"/>
        </w:rPr>
        <w:t>xây dựng điều chỉnh đến Trung tâm phục vụ hành chính công của tỉnh hoặc</w:t>
      </w:r>
      <w:r w:rsidRPr="00BE38C9">
        <w:rPr>
          <w:rFonts w:eastAsia="Wingdings" w:cs="Times New Roman"/>
          <w:szCs w:val="28"/>
          <w:lang w:val="vi-VN"/>
        </w:rPr>
        <w:t xml:space="preserve"> </w:t>
      </w:r>
      <w:r w:rsidRPr="00BE38C9">
        <w:rPr>
          <w:rFonts w:eastAsia="Wingdings" w:cs="Times New Roman"/>
          <w:szCs w:val="28"/>
          <w:lang w:val="it-IT"/>
        </w:rPr>
        <w:t xml:space="preserve">Bộ phận tiếp nhận và trả kết quả giải quyết TTHC của Sở Xây dựng hoặc Sở Giao thông vận tải (hoặc Sở Giao thông vận tải - Xây dựng) hoặc Sở Công Thương hoặc Sở NN&amp;PTNT hoặc Ban quản lý khu công nghiệp, khu chế xuất, khu công nghệ cao, khu kinh tế. Sau đây gọi chung là Cơ quan chuyên môn về xây dựng của tỉnh.  </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Trong thời hạn 05 ngày làm việc sau khi tiếp nhận hồ sơ, cơ quan chuyên môn về xây dựng có trách nhiệm:</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Gửi văn bản yêu cầu bổ sung hồ sơ;</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Trả lại hồ sơ thẩm định trong trường hợp: Trình thẩm định không đúng với thẩm quyền của cơ quan chuyên môn về xây dựng hoặc người đề nghị thẩm định không đúng thẩm quyền theo quy định tại Nghị định số 15/2021/NĐ-CP ngày 03/3/2021 của Chính phủ; Không thuộc đối tượng phải thẩm định tại cơ quan chuyên môn về xây dựng theo quy định; Hồ sơ trình thẩm định không bảo đảm về tính pháp lý hoặc không hợp lệ theo quy định tại Nghị định này;</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Gửi văn bản đến các cơ quan có thẩm quyền về phòng cháy chữa cháy để thực hiện lấy ý kiến về giải pháp phòng cháy, chữa cháy của thiết kế cơ sở trong trường hợp chủ đầu tư có yêu cầu.</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Trong thời hạn 20 ngày kể từ ngày nhận được yêu cầu của cơ quan chuyên môn về xây dựng, nếu người đề nghị thẩm định không thực hiện việc bổ sung hồ sơ thì cơ quan chuyên môn về xây dựng dừng việc thẩm định, người đề nghị thẩm định trình thẩm định lại khi có yêu cầu.</w:t>
      </w:r>
    </w:p>
    <w:p w:rsidR="00BE38C9" w:rsidRPr="00BE38C9" w:rsidRDefault="00BE38C9" w:rsidP="00BE38C9">
      <w:pPr>
        <w:spacing w:before="60" w:after="0" w:line="240" w:lineRule="auto"/>
        <w:ind w:firstLine="567"/>
        <w:jc w:val="both"/>
        <w:rPr>
          <w:rFonts w:eastAsia="Wingdings" w:cs="Times New Roman"/>
          <w:szCs w:val="28"/>
          <w:lang w:val="it-IT"/>
        </w:rPr>
      </w:pPr>
      <w:r w:rsidRPr="00BE38C9">
        <w:rPr>
          <w:rFonts w:eastAsia="Wingdings" w:cs="Times New Roman"/>
          <w:szCs w:val="28"/>
          <w:lang w:val="it-IT"/>
        </w:rPr>
        <w:t>- Trong quá trình thẩm định, cơ quan chuyên môn về xây dựng có quyền tạm dừng thẩm định (không quá 01 lần) và thông báo kịp thời đến người đề nghị thẩm định các lỗi, sai sót về thông tin, số liệu trong nội dung hồ sơ dẫn đến không thể đưa ra kết luận thẩm định. Trường hợp các lỗi, sai sót nêu trên không thể khắc phục được trong thời hạn 20 ngày thì cơ quan chuyên môn về xây dựng dừng việc thẩm định, người đề nghị thẩm định trình thẩm định lại khi có yêu cầu.</w:t>
      </w:r>
    </w:p>
    <w:p w:rsidR="00BE38C9" w:rsidRPr="00BE38C9" w:rsidRDefault="00BE38C9" w:rsidP="00BE38C9">
      <w:pPr>
        <w:spacing w:before="60" w:after="0" w:line="240" w:lineRule="auto"/>
        <w:ind w:firstLine="567"/>
        <w:jc w:val="both"/>
        <w:rPr>
          <w:rFonts w:eastAsia="Wingdings" w:cs="Times New Roman"/>
          <w:spacing w:val="6"/>
          <w:szCs w:val="28"/>
        </w:rPr>
      </w:pPr>
      <w:r w:rsidRPr="00BE38C9">
        <w:rPr>
          <w:rFonts w:eastAsia="Wingdings" w:cs="Times New Roman"/>
          <w:szCs w:val="28"/>
          <w:lang w:val="it-IT"/>
        </w:rPr>
        <w:t xml:space="preserve">- Trong thời gian </w:t>
      </w:r>
      <w:r w:rsidRPr="00BE38C9">
        <w:rPr>
          <w:rFonts w:eastAsia="Wingdings" w:cs="Times New Roman"/>
          <w:szCs w:val="28"/>
          <w:lang w:val="vi-VN"/>
        </w:rPr>
        <w:t xml:space="preserve">không quá </w:t>
      </w:r>
      <w:r w:rsidRPr="00BE38C9">
        <w:rPr>
          <w:rFonts w:eastAsia="Wingdings" w:cs="Times New Roman"/>
          <w:szCs w:val="28"/>
          <w:lang w:val="it-IT"/>
        </w:rPr>
        <w:t>40</w:t>
      </w:r>
      <w:r w:rsidRPr="00BE38C9">
        <w:rPr>
          <w:rFonts w:eastAsia="Wingdings" w:cs="Times New Roman"/>
          <w:szCs w:val="28"/>
          <w:lang w:val="vi-VN"/>
        </w:rPr>
        <w:t xml:space="preserve"> ngày</w:t>
      </w:r>
      <w:r w:rsidRPr="00BE38C9">
        <w:rPr>
          <w:rFonts w:eastAsia="Wingdings" w:cs="Times New Roman"/>
          <w:szCs w:val="28"/>
          <w:lang w:val="it-IT"/>
        </w:rPr>
        <w:t xml:space="preserve"> đối với công trình cấp I, cấp đặc biệt;</w:t>
      </w:r>
      <w:r w:rsidRPr="00BE38C9">
        <w:rPr>
          <w:rFonts w:eastAsia="Wingdings" w:cs="Times New Roman"/>
          <w:szCs w:val="28"/>
          <w:lang w:val="vi-VN"/>
        </w:rPr>
        <w:t xml:space="preserve"> </w:t>
      </w:r>
      <w:r w:rsidRPr="00BE38C9">
        <w:rPr>
          <w:rFonts w:eastAsia="Wingdings" w:cs="Times New Roman"/>
          <w:szCs w:val="28"/>
          <w:lang w:val="it-IT"/>
        </w:rPr>
        <w:t>kh</w:t>
      </w:r>
      <w:r w:rsidRPr="00BE38C9">
        <w:rPr>
          <w:rFonts w:eastAsia="Wingdings" w:cs="Times New Roman"/>
          <w:szCs w:val="28"/>
          <w:lang w:val="vi-VN"/>
        </w:rPr>
        <w:t xml:space="preserve">ông quá </w:t>
      </w:r>
      <w:r w:rsidRPr="00BE38C9">
        <w:rPr>
          <w:rFonts w:eastAsia="Wingdings" w:cs="Times New Roman"/>
          <w:szCs w:val="28"/>
          <w:lang w:val="it-IT"/>
        </w:rPr>
        <w:t>30</w:t>
      </w:r>
      <w:r w:rsidRPr="00BE38C9">
        <w:rPr>
          <w:rFonts w:eastAsia="Wingdings" w:cs="Times New Roman"/>
          <w:szCs w:val="28"/>
          <w:lang w:val="vi-VN"/>
        </w:rPr>
        <w:t xml:space="preserve"> ngày</w:t>
      </w:r>
      <w:r w:rsidRPr="00BE38C9">
        <w:rPr>
          <w:rFonts w:eastAsia="Wingdings" w:cs="Times New Roman"/>
          <w:szCs w:val="28"/>
          <w:lang w:val="it-IT"/>
        </w:rPr>
        <w:t xml:space="preserve"> đối với công trình cấp II, cấp III;</w:t>
      </w:r>
      <w:r w:rsidRPr="00BE38C9">
        <w:rPr>
          <w:rFonts w:eastAsia="Wingdings" w:cs="Times New Roman"/>
          <w:szCs w:val="28"/>
          <w:lang w:val="vi-VN"/>
        </w:rPr>
        <w:t xml:space="preserve"> không quá </w:t>
      </w:r>
      <w:r w:rsidRPr="00BE38C9">
        <w:rPr>
          <w:rFonts w:eastAsia="Wingdings" w:cs="Times New Roman"/>
          <w:szCs w:val="28"/>
          <w:lang w:val="it-IT"/>
        </w:rPr>
        <w:t>20</w:t>
      </w:r>
      <w:r w:rsidRPr="00BE38C9">
        <w:rPr>
          <w:rFonts w:eastAsia="Wingdings" w:cs="Times New Roman"/>
          <w:szCs w:val="28"/>
          <w:lang w:val="vi-VN"/>
        </w:rPr>
        <w:t xml:space="preserve"> ngày </w:t>
      </w:r>
      <w:r w:rsidRPr="00BE38C9">
        <w:rPr>
          <w:rFonts w:eastAsia="Wingdings" w:cs="Times New Roman"/>
          <w:szCs w:val="28"/>
          <w:lang w:val="it-IT"/>
        </w:rPr>
        <w:t xml:space="preserve">đối với công trình còn lại </w:t>
      </w:r>
      <w:r w:rsidRPr="00BE38C9">
        <w:rPr>
          <w:rFonts w:eastAsia="Wingdings" w:cs="Times New Roman"/>
          <w:szCs w:val="28"/>
          <w:lang w:val="vi-VN"/>
        </w:rPr>
        <w:t>kể từ ngày nhận đủ hồ sơ hợp lệ</w:t>
      </w:r>
      <w:r w:rsidRPr="00BE38C9">
        <w:rPr>
          <w:rFonts w:eastAsia="Wingdings" w:cs="Times New Roman"/>
          <w:szCs w:val="28"/>
          <w:lang w:val="it-IT"/>
        </w:rPr>
        <w:t xml:space="preserve"> cơ quan chuyên môn về xây dựng ra thông báo kết quả thẩm định kèm theo hồ sơ bản vẽ được đóng dấu.</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2. Cách thức thực hiện:</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 Nộp hồ sơ trực tiếp hoặc gửi qua hệ thống bưu chính hoặc qua cổng dịch vụ công trực tuyến hoặc hình thức phù hợp khác đến Sở Giao thông vận tải – Xây dựng hoặc cơ quan chuyên môn về xây dựng của tỉnh.</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lastRenderedPageBreak/>
        <w:t>3. Thành phần, số lượng hồ sơ:</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 xml:space="preserve">a) Thành phần hồ sơ: </w:t>
      </w:r>
    </w:p>
    <w:p w:rsidR="00BE38C9" w:rsidRPr="00BE38C9" w:rsidRDefault="00BE38C9" w:rsidP="00BE38C9">
      <w:pPr>
        <w:spacing w:before="60" w:after="0" w:line="240" w:lineRule="auto"/>
        <w:ind w:firstLine="709"/>
        <w:jc w:val="both"/>
        <w:rPr>
          <w:rFonts w:eastAsia="Times New Roman" w:cs="Times New Roman"/>
          <w:szCs w:val="28"/>
        </w:rPr>
      </w:pPr>
      <w:r w:rsidRPr="00BE38C9">
        <w:rPr>
          <w:rFonts w:eastAsia="Times New Roman" w:cs="Times New Roman"/>
          <w:szCs w:val="28"/>
        </w:rPr>
        <w:t>-</w:t>
      </w:r>
      <w:r w:rsidRPr="00BE38C9">
        <w:rPr>
          <w:rFonts w:eastAsia="Times New Roman" w:cs="Times New Roman"/>
          <w:szCs w:val="28"/>
          <w:lang w:val="vi-VN"/>
        </w:rPr>
        <w:t xml:space="preserve"> </w:t>
      </w:r>
      <w:r w:rsidRPr="00BE38C9">
        <w:rPr>
          <w:rFonts w:eastAsia="Times New Roman" w:cs="Times New Roman"/>
          <w:szCs w:val="28"/>
        </w:rPr>
        <w:t xml:space="preserve">Tờ trình </w:t>
      </w:r>
      <w:r w:rsidRPr="00BE38C9">
        <w:rPr>
          <w:rFonts w:eastAsia="Times New Roman" w:cs="Times New Roman"/>
          <w:szCs w:val="28"/>
          <w:lang w:val="it-IT"/>
        </w:rPr>
        <w:t xml:space="preserve">thẩm định Thiết kế xây dựng triển khai sau thiết kế cơ sở </w:t>
      </w:r>
      <w:r w:rsidRPr="00BE38C9">
        <w:rPr>
          <w:rFonts w:eastAsia="Times New Roman" w:cs="Times New Roman"/>
          <w:szCs w:val="28"/>
          <w:lang w:val="vi-VN"/>
        </w:rPr>
        <w:t xml:space="preserve">theo Mẫu số </w:t>
      </w:r>
      <w:r w:rsidRPr="00BE38C9">
        <w:rPr>
          <w:rFonts w:eastAsia="Times New Roman" w:cs="Times New Roman"/>
          <w:szCs w:val="28"/>
        </w:rPr>
        <w:t>04</w:t>
      </w:r>
      <w:r w:rsidRPr="00BE38C9">
        <w:rPr>
          <w:rFonts w:eastAsia="Times New Roman" w:cs="Times New Roman"/>
          <w:szCs w:val="28"/>
          <w:lang w:val="vi-VN"/>
        </w:rPr>
        <w:t xml:space="preserve"> Phụ lục I Nghị định số 15/2021/NĐ-CP;</w:t>
      </w:r>
    </w:p>
    <w:p w:rsidR="00BE38C9" w:rsidRPr="00BE38C9" w:rsidRDefault="00BE38C9" w:rsidP="00BE38C9">
      <w:pPr>
        <w:spacing w:before="60" w:after="0" w:line="240" w:lineRule="auto"/>
        <w:ind w:firstLine="567"/>
        <w:jc w:val="both"/>
        <w:rPr>
          <w:rFonts w:eastAsia="Times New Roman" w:cs="Times New Roman"/>
          <w:bCs/>
          <w:i/>
          <w:szCs w:val="28"/>
        </w:rPr>
      </w:pPr>
      <w:r w:rsidRPr="00BE38C9">
        <w:rPr>
          <w:rFonts w:eastAsia="Times New Roman" w:cs="Times New Roman"/>
          <w:bCs/>
          <w:i/>
          <w:szCs w:val="28"/>
        </w:rPr>
        <w:t>- Các văn bản pháp lý kèm theo, gồm: 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(nếu có); báo cáo kết quả thẩm tra thiết kế xây dựng của nhà thầu tư vấn thẩm tra được chủ đầu tư xác nhận (nếu có yêu cầu); văn bản thẩm duyệt thiết kế về phòng cháy và chữa cháy, kết quả thực hiện thủ tục về đánh giá tác động môi trường hoặc giấy phép môi trường (nếu có yêu cầu theo quy định của pháp luật về phòng cháy và chữa cháy, bảo vệ môi trường) và các văn bản khác có liên quan.</w:t>
      </w:r>
    </w:p>
    <w:p w:rsidR="00BE38C9" w:rsidRPr="00BE38C9" w:rsidRDefault="00BE38C9" w:rsidP="00BE38C9">
      <w:pPr>
        <w:spacing w:before="60" w:after="0" w:line="240" w:lineRule="auto"/>
        <w:ind w:firstLine="709"/>
        <w:jc w:val="both"/>
        <w:rPr>
          <w:rFonts w:eastAsia="Times New Roman" w:cs="Times New Roman"/>
          <w:bCs/>
          <w:i/>
          <w:szCs w:val="28"/>
          <w:vertAlign w:val="superscript"/>
        </w:rPr>
      </w:pPr>
      <w:r w:rsidRPr="00BE38C9">
        <w:rPr>
          <w:rFonts w:eastAsia="Times New Roman" w:cs="Times New Roman"/>
          <w:bCs/>
          <w:i/>
          <w:szCs w:val="28"/>
        </w:rPr>
        <w:t>Thủ tục về phòng cháy và chữa cháy được thực hiện theo nguyên tắc đồng thời, không yêu cầu bắt buộc xuất trình tại thời điểm trình hồ sơ thẩm định, song phải có kết quả gửi cơ quan chuyên môn về xây dựng trước thời hạn thông báo kết quả thẩm định 05 ngày làm việc;</w:t>
      </w:r>
      <w:r w:rsidRPr="00BE38C9">
        <w:rPr>
          <w:rFonts w:eastAsia="Times New Roman" w:cs="Times New Roman"/>
          <w:bCs/>
          <w:i/>
          <w:szCs w:val="28"/>
          <w:vertAlign w:val="superscript"/>
        </w:rPr>
        <w:footnoteReference w:id="1"/>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Hồ sơ khảo sát xây dựng được chủ đầu tư phê duyệt; hồ sơ thiết kế xây dựng của bước thiết kế xây dựng trình thẩm định;</w:t>
      </w:r>
    </w:p>
    <w:p w:rsidR="00BE38C9" w:rsidRPr="00BE38C9" w:rsidRDefault="00BE38C9" w:rsidP="00BE38C9">
      <w:pPr>
        <w:spacing w:before="60" w:after="0" w:line="240" w:lineRule="auto"/>
        <w:ind w:firstLine="709"/>
        <w:jc w:val="both"/>
        <w:rPr>
          <w:rFonts w:eastAsia="Times New Roman" w:cs="Times New Roman"/>
          <w:spacing w:val="-6"/>
          <w:szCs w:val="28"/>
          <w:lang w:val="vi-VN"/>
        </w:rPr>
      </w:pPr>
      <w:r w:rsidRPr="00BE38C9">
        <w:rPr>
          <w:rFonts w:eastAsia="Times New Roman" w:cs="Times New Roman"/>
          <w:spacing w:val="-6"/>
          <w:szCs w:val="28"/>
          <w:lang w:val="vi-VN"/>
        </w:rPr>
        <w:t>-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Đối với các công trình sử dụng vốn đầu tư công, vốn nhà nước ngoài đầu tư công có yêu cầu thẩm định dự toán xây dựng, ngoài các nội dung quy định tại nêu trên, hồ sơ phải có thêm dự toán xây dựng; các thông tin, số liệu về giá, định mức có liên quan để xác định dự toán xây dựng; báo giá, kết quả thẩm định giá (nếu có).</w:t>
      </w:r>
    </w:p>
    <w:p w:rsidR="00BE38C9" w:rsidRPr="00BE38C9" w:rsidRDefault="00BE38C9" w:rsidP="00BE38C9">
      <w:pPr>
        <w:spacing w:before="60" w:after="0" w:line="240" w:lineRule="auto"/>
        <w:ind w:firstLine="567"/>
        <w:jc w:val="both"/>
        <w:rPr>
          <w:rFonts w:eastAsia="Times New Roman" w:cs="Times New Roman"/>
          <w:szCs w:val="28"/>
        </w:rPr>
      </w:pPr>
      <w:r w:rsidRPr="00BE38C9">
        <w:rPr>
          <w:rFonts w:eastAsia="Times New Roman" w:cs="Times New Roman"/>
          <w:szCs w:val="28"/>
          <w:lang w:val="vi-VN"/>
        </w:rPr>
        <w:t>- Đối với thiết kế triển khai sau thiết kế cơ sở điều chỉnh ngoài các thành phần hồ sơ nêu trên, chủ đầu tư phải nộp báo cáo tình hình thực tế thi công xây dựng công trình (trường hợp công trình đã thi công xây dựng).</w:t>
      </w:r>
    </w:p>
    <w:p w:rsidR="00BE38C9" w:rsidRPr="00BE38C9" w:rsidRDefault="00BE38C9" w:rsidP="00BE38C9">
      <w:pPr>
        <w:spacing w:before="60" w:after="0" w:line="240" w:lineRule="auto"/>
        <w:ind w:firstLine="567"/>
        <w:jc w:val="both"/>
        <w:rPr>
          <w:rFonts w:eastAsia="Wingdings" w:cs="Times New Roman"/>
          <w:i/>
          <w:szCs w:val="28"/>
        </w:rPr>
      </w:pPr>
      <w:r w:rsidRPr="00BE38C9">
        <w:rPr>
          <w:rFonts w:eastAsia="Wingdings" w:cs="Times New Roman"/>
          <w:szCs w:val="28"/>
        </w:rPr>
        <w:t>b) Số lượng hồ sơ:</w:t>
      </w:r>
      <w:r w:rsidRPr="00BE38C9">
        <w:rPr>
          <w:rFonts w:eastAsia="Wingdings" w:cs="Times New Roman"/>
          <w:i/>
          <w:szCs w:val="28"/>
        </w:rPr>
        <w:t xml:space="preserve"> </w:t>
      </w:r>
      <w:r w:rsidRPr="00BE38C9">
        <w:rPr>
          <w:rFonts w:eastAsia="Wingdings" w:cs="Times New Roman"/>
          <w:szCs w:val="28"/>
        </w:rPr>
        <w:t>01 bộ.</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4. Thời hạn giải quyết:</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Kể từ ngày nhận đủ hồ sơ hợp lệ:</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 Không quá 40 ngày đối với công trình cấp I, cấp đặc biệt;</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 Không quá 30 ngày đối với công trình cấp II và cấp III;</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 Không quá 20 ngày đối với công trình còn lại.</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5. Đối tượng thực hiện TTHC:</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lastRenderedPageBreak/>
        <w:t>Chủ đầu tư hoặc tổ chức/cá nhân được người quyết định đầu tư/cơ quan nhà nước có thẩm quyền giao chuẩn bị dự án gọi chung là Người đề nghị thẩm định..</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6. Cơ quan thực hiện TTHC:</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it-IT"/>
        </w:rPr>
        <w:t xml:space="preserve">Cơ quan chuyên môn về xây dựng của tỉnh </w:t>
      </w:r>
      <w:r w:rsidRPr="00BE38C9">
        <w:rPr>
          <w:rFonts w:eastAsia="Wingdings" w:cs="Times New Roman"/>
          <w:szCs w:val="28"/>
        </w:rPr>
        <w:t>(Sở Xây dựng, Sở Giao thông vận tải, Sở Giao thông vận tải - Xây dựng; Sở Nông nghiệp và Phát triển nông thôn, Sở Công Thương và Ban Quản lý Khu kinh tế)</w:t>
      </w:r>
      <w:r w:rsidRPr="00BE38C9">
        <w:rPr>
          <w:rFonts w:eastAsia="Times New Roman" w:cs="Times New Roman"/>
          <w:szCs w:val="28"/>
          <w:lang w:val="vi-VN"/>
        </w:rPr>
        <w:t>, cụ thể như sau:</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a) Đối với dự án đầu tư xây dựng sử dụng vốn đầu tư công, cơ quan chuyên môn về xây dựng thẩm định đối với dự án thuộc chuyên ngành quản lý theo quy định tại Điều 109 Nghị định số 15/2021/NĐ-CP, cụ thể:</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Cơ quan chuyên môn về xây dựng thuộc Ủy ban nhân dân cấp tỉnh thẩm định đối với dự án được đầu tư xây dựng trên địa bàn hành chính của tỉnh; trừ dự án quy định tại điểm a khoản này và dự án có yêu cầu lập Báo cáo kinh tế - kỹ thuật đầu tư xây dựng;</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Cơ quan chuyên môn về xây dựng thuộc Ủy ban nhân dân thành phố Hà Nội, Thành phố Hồ Chí Minh thẩm định đối với dự án do Chủ tịch Ủy ban nhân dân thành phố quyết định đầu tư hoặc phân cấp, ủy quyền quyết định đầu tư.</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b) Đối với dự án đầu tư xây dựng sử dụng vốn nhà nước ngoài đầu tư công, cơ quan chuyên môn về xây dựng thẩm định đối với dự án từ nhóm B trở lên, dự án có công trình ảnh hưởng lớn đến an toàn, lợi ích cộng đồng thuộc chuyên ngành quản lý theo quy định tại Điều 109 Nghị định số 15/2021/NĐ-CP, cụ thể:</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Cơ quan chuyên môn về xây dựng thuộc Ủy ban nhân dân cấp tỉnh thẩm định đối với dự án được đầu tư xây dựng trên địa bàn hành chính của tỉnh, trừ dự án quy định tại các điểm a khoản này;</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Cơ quan chuyên môn về xây dựng thuộc Ủy ban nhân dân thành phố Hà Nội, Thành phố Hồ Chí Minh thẩm định đối với dự án do Chủ tịch Ủy ban nhân dân thành phố quyết định đầu tư hoặc phân cấp, ủy quyền quyết định đầu tư.</w:t>
      </w:r>
    </w:p>
    <w:p w:rsidR="00BE38C9" w:rsidRPr="00BE38C9" w:rsidRDefault="00BE38C9" w:rsidP="00BE38C9">
      <w:pPr>
        <w:spacing w:before="60" w:after="0" w:line="240" w:lineRule="auto"/>
        <w:ind w:firstLine="709"/>
        <w:jc w:val="both"/>
        <w:rPr>
          <w:rFonts w:eastAsia="Times New Roman" w:cs="Times New Roman"/>
          <w:spacing w:val="-6"/>
          <w:szCs w:val="28"/>
          <w:lang w:val="vi-VN"/>
        </w:rPr>
      </w:pPr>
      <w:r w:rsidRPr="00BE38C9">
        <w:rPr>
          <w:rFonts w:eastAsia="Times New Roman" w:cs="Times New Roman"/>
          <w:spacing w:val="-6"/>
          <w:szCs w:val="28"/>
          <w:lang w:val="vi-VN"/>
        </w:rPr>
        <w:t>- Đối với dự án PPP, cơ quan chuyên môn về xây dựng thẩm định đối với dự án thuộc chuyên ngành quản lý theo quy định tại Điều 109 Nghị định số 15/2021/NĐ-CP, cụ thể:</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Cơ quan chuyên môn về xây dựng thuộc Ủy ban nhân dân cấp tỉnh thẩm định đối với dự án PPP được đầu tư xây dựng trên địa bàn hành chính của tỉnh, trừ dự án quy định tại điểm a khoản này.</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c) Đối với dự án đầu tư xây dựng sử dụng vốn khác, cơ quan chuyên môn về xây dựng thẩm định đối với dự án quy mô lớn quy định tại khoản 8 Điều 3 Nghị định này, dự án có công trình ảnh hưởng lớn đến an toàn, lợi ích cộng đồng thuộc chuyên ngành quản lý theo quy định tại Điều 109 Nghị định số 15/2021/NĐ-CP, cụ thể:</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Times New Roman" w:cs="Times New Roman"/>
          <w:szCs w:val="28"/>
          <w:lang w:val="vi-VN"/>
        </w:rPr>
        <w:t>- Cơ quan chuyên môn về xây dựng thuộc Ủy ban nhân dân cấp tỉnh thẩm định đối với dự án được đầu tư xây dựng trên địa bàn hành chính của tỉnh; trừ dự án quy định tại điểm a khoản này.</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7. Kết quả của việc thực hiện TTHC:</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lastRenderedPageBreak/>
        <w:t>Thông báo kết quả thẩm định Thiết kế xây dựng triển khai sau thiết kế cơ sở/ Thiết kế xây dựng triển khai sau thiết kế cơ sở điều chỉnh kèm theo hồ sơ thiết kế trình thẩm định có đóng dấu thẩm định của cơ quan chuyên môn về xây dựng.</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8. Phí, lệ phí:</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Wingdings" w:cs="Times New Roman"/>
          <w:szCs w:val="28"/>
        </w:rPr>
        <w:t>Theo quy định tại Thông tư của Bộ trưởng Bộ Tài chính.</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9. Tên mẫu đơn, mẫu tờ khai hành chính:</w:t>
      </w:r>
    </w:p>
    <w:p w:rsidR="00BE38C9" w:rsidRPr="00BE38C9" w:rsidRDefault="00BE38C9" w:rsidP="00BE38C9">
      <w:pPr>
        <w:spacing w:before="60" w:after="0" w:line="240" w:lineRule="auto"/>
        <w:ind w:firstLine="567"/>
        <w:jc w:val="both"/>
        <w:rPr>
          <w:rFonts w:eastAsia="Wingdings" w:cs="Times New Roman"/>
          <w:szCs w:val="28"/>
        </w:rPr>
      </w:pPr>
      <w:r w:rsidRPr="00BE38C9">
        <w:rPr>
          <w:rFonts w:eastAsia="Times New Roman" w:cs="Times New Roman"/>
          <w:szCs w:val="28"/>
          <w:lang w:val="vi-VN"/>
        </w:rPr>
        <w:t>Tờ trình thẩm định</w:t>
      </w:r>
      <w:r w:rsidRPr="00BE38C9">
        <w:rPr>
          <w:rFonts w:eastAsia="Times New Roman" w:cs="Times New Roman"/>
          <w:szCs w:val="28"/>
          <w:lang w:val="it-IT"/>
        </w:rPr>
        <w:t xml:space="preserve"> Thiết kế xây dựng triển khai sau thiết kế cơ sở</w:t>
      </w:r>
      <w:r w:rsidRPr="00BE38C9">
        <w:rPr>
          <w:rFonts w:eastAsia="Times New Roman" w:cs="Times New Roman"/>
          <w:szCs w:val="28"/>
          <w:lang w:val="vi-VN"/>
        </w:rPr>
        <w:t xml:space="preserve"> theo Mẫu số 04 Phụ lục I Nghị định số 15/2021/NĐ-CP.</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10. Yêu cầu, điều kiện thực hiện TTHC:</w:t>
      </w:r>
    </w:p>
    <w:p w:rsidR="00BE38C9" w:rsidRPr="00BE38C9" w:rsidRDefault="00BE38C9" w:rsidP="00BE38C9">
      <w:pPr>
        <w:spacing w:before="60" w:after="0" w:line="240" w:lineRule="auto"/>
        <w:ind w:firstLine="567"/>
        <w:jc w:val="both"/>
        <w:rPr>
          <w:rFonts w:eastAsia="Wingdings" w:cs="Times New Roman"/>
          <w:i/>
          <w:szCs w:val="28"/>
        </w:rPr>
      </w:pPr>
      <w:r w:rsidRPr="00BE38C9">
        <w:rPr>
          <w:rFonts w:eastAsia="Times New Roman" w:cs="Times New Roman"/>
          <w:szCs w:val="28"/>
          <w:lang w:val="vi-VN"/>
        </w:rPr>
        <w:t>Hồ sơ trình thẩm định phải bảo đảm tính pháp lý, hợp lệ, phù hợp với nội dung đề nghị thẩm định. Hồ sơ trình thẩm định được xem là đúng quy cách, được trình bày với ngôn ngữ chính là tiếng Việt và được người đề nghị thẩm định kiểm tra, xác nhận. Phần hồ sơ thiết kế kiến trúc trong hồ sơ thiết kế xây dựng (nếu có) cần tuân thủ quy định theo pháp luật về kiến trúc.</w:t>
      </w:r>
      <w:r w:rsidRPr="00BE38C9">
        <w:rPr>
          <w:rFonts w:eastAsia="Wingdings" w:cs="Times New Roman"/>
          <w:i/>
          <w:szCs w:val="28"/>
        </w:rPr>
        <w:t xml:space="preserve">. </w:t>
      </w:r>
    </w:p>
    <w:p w:rsidR="00BE38C9" w:rsidRPr="00BE38C9" w:rsidRDefault="00BE38C9" w:rsidP="00BE38C9">
      <w:pPr>
        <w:spacing w:before="60" w:after="0" w:line="240" w:lineRule="auto"/>
        <w:ind w:firstLine="567"/>
        <w:jc w:val="both"/>
        <w:rPr>
          <w:rFonts w:eastAsia="Times New Roman" w:cs="Times New Roman"/>
          <w:b/>
          <w:bCs/>
          <w:szCs w:val="28"/>
        </w:rPr>
      </w:pPr>
      <w:r w:rsidRPr="00BE38C9">
        <w:rPr>
          <w:rFonts w:eastAsia="Times New Roman" w:cs="Times New Roman"/>
          <w:b/>
          <w:bCs/>
          <w:szCs w:val="28"/>
        </w:rPr>
        <w:t>11. Căn cứ pháp lý của TTHC:</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Luật Xây dựng số 50/2014/QH13 ngày 18/6/2014;</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Luật sửa đổi, bổ sung một số điều của Luật Xây dựng số 62/2020/QH14;</w:t>
      </w:r>
    </w:p>
    <w:p w:rsidR="00BE38C9" w:rsidRPr="00BE38C9" w:rsidRDefault="00BE38C9" w:rsidP="00BE38C9">
      <w:pPr>
        <w:spacing w:before="60" w:after="0" w:line="240" w:lineRule="auto"/>
        <w:ind w:firstLine="709"/>
        <w:jc w:val="both"/>
        <w:rPr>
          <w:rFonts w:eastAsia="Times New Roman" w:cs="Times New Roman"/>
          <w:szCs w:val="28"/>
          <w:lang w:val="vi-VN"/>
        </w:rPr>
      </w:pPr>
      <w:r w:rsidRPr="00BE38C9">
        <w:rPr>
          <w:rFonts w:eastAsia="Times New Roman" w:cs="Times New Roman"/>
          <w:szCs w:val="28"/>
          <w:lang w:val="vi-VN"/>
        </w:rPr>
        <w:t>- Nghị định số 15/2021/NĐ-CP ngày 03/3/2021 của Chính phủ quy định chi tiết một số nội dung về quản lý dự án đầu tư xây dựng;</w:t>
      </w:r>
    </w:p>
    <w:p w:rsidR="00352113" w:rsidRDefault="00BE38C9" w:rsidP="00BE38C9">
      <w:pPr>
        <w:ind w:firstLine="567"/>
      </w:pPr>
      <w:r w:rsidRPr="00BE38C9">
        <w:rPr>
          <w:rFonts w:eastAsia="Times New Roman" w:cs="Times New Roman"/>
          <w:i/>
          <w:spacing w:val="-4"/>
          <w:szCs w:val="28"/>
          <w:lang w:val="vi-VN"/>
        </w:rPr>
        <w:t>- Nghị định số 35/2023/NĐ-CP ngày 20/6/2023 của Chính phủ sửa đổi, bổ sung một số điều của các Nghị định thuộc lĩnh vực quản lý nhà nước của Bộ Xây dựng;</w:t>
      </w:r>
    </w:p>
    <w:sectPr w:rsidR="00352113" w:rsidSect="00BE38C9">
      <w:pgSz w:w="11907" w:h="16840" w:code="9"/>
      <w:pgMar w:top="1440" w:right="85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E2" w:rsidRDefault="005651E2" w:rsidP="00BE38C9">
      <w:pPr>
        <w:spacing w:after="0" w:line="240" w:lineRule="auto"/>
      </w:pPr>
      <w:r>
        <w:separator/>
      </w:r>
    </w:p>
  </w:endnote>
  <w:endnote w:type="continuationSeparator" w:id="0">
    <w:p w:rsidR="005651E2" w:rsidRDefault="005651E2" w:rsidP="00BE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E2" w:rsidRDefault="005651E2" w:rsidP="00BE38C9">
      <w:pPr>
        <w:spacing w:after="0" w:line="240" w:lineRule="auto"/>
      </w:pPr>
      <w:r>
        <w:separator/>
      </w:r>
    </w:p>
  </w:footnote>
  <w:footnote w:type="continuationSeparator" w:id="0">
    <w:p w:rsidR="005651E2" w:rsidRDefault="005651E2" w:rsidP="00BE38C9">
      <w:pPr>
        <w:spacing w:after="0" w:line="240" w:lineRule="auto"/>
      </w:pPr>
      <w:r>
        <w:continuationSeparator/>
      </w:r>
    </w:p>
  </w:footnote>
  <w:footnote w:id="1">
    <w:p w:rsidR="00BE38C9" w:rsidRDefault="00BE38C9" w:rsidP="00BE38C9">
      <w:pPr>
        <w:pStyle w:val="FootnoteText"/>
      </w:pPr>
      <w:r>
        <w:rPr>
          <w:rStyle w:val="FootnoteReference"/>
        </w:rPr>
        <w:footnoteRef/>
      </w:r>
      <w:r>
        <w:t xml:space="preserve"> </w:t>
      </w:r>
      <w:r w:rsidRPr="0020410D">
        <w:rPr>
          <w:color w:val="FF0000"/>
          <w:sz w:val="24"/>
          <w:szCs w:val="24"/>
          <w:lang w:val="it-IT"/>
        </w:rPr>
        <w:t>Phần chữ “in nghiêng” là nội sung được sửa đổi, bổ sung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C9"/>
    <w:rsid w:val="00352113"/>
    <w:rsid w:val="005651E2"/>
    <w:rsid w:val="00BE38C9"/>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3928-A1DB-4400-878C-8FFFB3EA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8C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E38C9"/>
    <w:rPr>
      <w:rFonts w:eastAsia="Times New Roman" w:cs="Times New Roman"/>
      <w:sz w:val="20"/>
      <w:szCs w:val="20"/>
    </w:rPr>
  </w:style>
  <w:style w:type="character" w:styleId="FootnoteReference">
    <w:name w:val="footnote reference"/>
    <w:basedOn w:val="DefaultParagraphFont"/>
    <w:semiHidden/>
    <w:unhideWhenUsed/>
    <w:rsid w:val="00BE3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2024-10-23T01:23:00Z</dcterms:created>
  <dcterms:modified xsi:type="dcterms:W3CDTF">2024-10-23T01:25:00Z</dcterms:modified>
</cp:coreProperties>
</file>